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54CBE56B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A92315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033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033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033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033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033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033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033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0332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0332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0332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0332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0332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03325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517167784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r>
              <w:t>Hash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92045D" w:rsidRDefault="008A5F96" w:rsidP="00DC62C1">
      <w:pPr>
        <w:pStyle w:val="Nadpis1"/>
        <w:jc w:val="both"/>
        <w:rPr>
          <w:caps/>
          <w:sz w:val="20"/>
          <w:szCs w:val="20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7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7"/>
      <w:r w:rsidRPr="004A323F">
        <w:rPr>
          <w:caps/>
        </w:rPr>
        <w:t xml:space="preserve"> </w:t>
      </w:r>
    </w:p>
    <w:p w14:paraId="6BE2C66E" w14:textId="73D0EA15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8" w:name="_Toc485823525"/>
      <w:bookmarkStart w:id="9" w:name="_Toc488138197"/>
      <w:bookmarkStart w:id="10" w:name="_Toc485823526"/>
      <w:bookmarkStart w:id="11" w:name="_Toc488138198"/>
      <w:bookmarkStart w:id="12" w:name="_Toc485823527"/>
      <w:bookmarkStart w:id="13" w:name="_Toc488138199"/>
      <w:bookmarkStart w:id="14" w:name="_Toc485823528"/>
      <w:bookmarkStart w:id="15" w:name="_Toc488138200"/>
      <w:bookmarkStart w:id="16" w:name="_Toc485823529"/>
      <w:bookmarkStart w:id="17" w:name="_Toc488138201"/>
      <w:bookmarkStart w:id="18" w:name="_Toc485823530"/>
      <w:bookmarkStart w:id="19" w:name="_Toc48813820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78A3AE5C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lastRenderedPageBreak/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DB6A1D">
        <w:t>.</w:t>
      </w:r>
      <w:r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0" w:name="_Toc512408626"/>
      <w:bookmarkStart w:id="21" w:name="_Toc512408627"/>
      <w:bookmarkStart w:id="22" w:name="_Toc512408628"/>
      <w:bookmarkStart w:id="23" w:name="_Toc467834847"/>
      <w:bookmarkStart w:id="24" w:name="_Toc517167786"/>
      <w:bookmarkEnd w:id="20"/>
      <w:bookmarkEnd w:id="21"/>
      <w:bookmarkEnd w:id="22"/>
      <w:r w:rsidRPr="005B64B6">
        <w:rPr>
          <w:caps/>
        </w:rPr>
        <w:t>ZDŮVODNĚNÍ POTŘEBNOSTI REALIZACE PROJEKTU</w:t>
      </w:r>
      <w:bookmarkEnd w:id="23"/>
      <w:bookmarkEnd w:id="24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77777777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51716778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5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517167788"/>
      <w:r w:rsidRPr="004A323F">
        <w:rPr>
          <w:caps/>
        </w:rPr>
        <w:t>Technické a technologické řešení projektu</w:t>
      </w:r>
      <w:bookmarkEnd w:id="26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517167789"/>
      <w:r w:rsidRPr="004A323F">
        <w:rPr>
          <w:caps/>
        </w:rPr>
        <w:t>Vliv projektu na životní prostředí</w:t>
      </w:r>
      <w:bookmarkEnd w:id="27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lastRenderedPageBreak/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512408633"/>
      <w:bookmarkStart w:id="29" w:name="_Toc485823537"/>
      <w:bookmarkStart w:id="30" w:name="_Toc488138209"/>
      <w:bookmarkStart w:id="31" w:name="_Toc485823538"/>
      <w:bookmarkStart w:id="32" w:name="_Toc488138210"/>
      <w:bookmarkStart w:id="33" w:name="_Toc485823539"/>
      <w:bookmarkStart w:id="34" w:name="_Toc488138211"/>
      <w:bookmarkStart w:id="35" w:name="_Toc485823540"/>
      <w:bookmarkStart w:id="36" w:name="_Toc488138212"/>
      <w:bookmarkStart w:id="37" w:name="_Toc485823541"/>
      <w:bookmarkStart w:id="38" w:name="_Toc488138213"/>
      <w:bookmarkStart w:id="39" w:name="_Toc485823542"/>
      <w:bookmarkStart w:id="40" w:name="_Toc488138214"/>
      <w:bookmarkStart w:id="41" w:name="_Toc51716779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4A323F">
        <w:rPr>
          <w:rFonts w:eastAsiaTheme="minorHAnsi"/>
          <w:caps/>
        </w:rPr>
        <w:t>Výstupy projektu</w:t>
      </w:r>
      <w:bookmarkEnd w:id="41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2" w:name="_Toc517167791"/>
      <w:r w:rsidRPr="004A323F">
        <w:rPr>
          <w:caps/>
        </w:rPr>
        <w:t>Připravenost projektu k realizaci</w:t>
      </w:r>
      <w:bookmarkEnd w:id="42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425BF25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14:paraId="6E7AF259" w14:textId="4910A526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3" w:name="_Toc517167792"/>
      <w:r>
        <w:t>ZPŮSOB STANOVENÍ CEN DO ROZPOČTU PROJEKTU</w:t>
      </w:r>
      <w:bookmarkEnd w:id="43"/>
    </w:p>
    <w:p w14:paraId="5B83DB0B" w14:textId="71336E7E" w:rsidR="009E5131" w:rsidRDefault="009E5131" w:rsidP="003D1697">
      <w:pPr>
        <w:spacing w:before="120"/>
      </w:pPr>
      <w:r>
        <w:t>Žadatel kapitolu nevyplňuje.</w:t>
      </w:r>
    </w:p>
    <w:p w14:paraId="5D22BB0D" w14:textId="77777777" w:rsidR="008C4C98" w:rsidRPr="003C5DD8" w:rsidRDefault="008C4C98" w:rsidP="003D1697">
      <w:pPr>
        <w:spacing w:before="120"/>
      </w:pP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4" w:name="_Toc485823546"/>
      <w:bookmarkStart w:id="45" w:name="_Toc488138218"/>
      <w:bookmarkStart w:id="46" w:name="_Toc485823547"/>
      <w:bookmarkStart w:id="47" w:name="_Toc488138219"/>
      <w:bookmarkStart w:id="48" w:name="_Toc485823548"/>
      <w:bookmarkStart w:id="49" w:name="_Toc488138220"/>
      <w:bookmarkStart w:id="50" w:name="_Toc485823549"/>
      <w:bookmarkStart w:id="51" w:name="_Toc488138221"/>
      <w:bookmarkStart w:id="52" w:name="_Toc485823550"/>
      <w:bookmarkStart w:id="53" w:name="_Toc488138222"/>
      <w:bookmarkStart w:id="54" w:name="_Toc485823551"/>
      <w:bookmarkStart w:id="55" w:name="_Toc488138223"/>
      <w:bookmarkStart w:id="56" w:name="_Toc485823552"/>
      <w:bookmarkStart w:id="57" w:name="_Toc488138224"/>
      <w:bookmarkStart w:id="58" w:name="_Toc485823553"/>
      <w:bookmarkStart w:id="59" w:name="_Toc488138225"/>
      <w:bookmarkStart w:id="60" w:name="_Toc485823554"/>
      <w:bookmarkStart w:id="61" w:name="_Toc488138226"/>
      <w:bookmarkStart w:id="62" w:name="_Toc485823555"/>
      <w:bookmarkStart w:id="63" w:name="_Toc488138227"/>
      <w:bookmarkStart w:id="64" w:name="_Toc485823556"/>
      <w:bookmarkStart w:id="65" w:name="_Toc488138228"/>
      <w:bookmarkStart w:id="66" w:name="_Toc485823557"/>
      <w:bookmarkStart w:id="67" w:name="_Toc488138229"/>
      <w:bookmarkStart w:id="68" w:name="_Toc485823558"/>
      <w:bookmarkStart w:id="69" w:name="_Toc488138230"/>
      <w:bookmarkStart w:id="70" w:name="_Toc485823559"/>
      <w:bookmarkStart w:id="71" w:name="_Toc488138231"/>
      <w:bookmarkStart w:id="72" w:name="_Toc485823560"/>
      <w:bookmarkStart w:id="73" w:name="_Toc488138232"/>
      <w:bookmarkStart w:id="74" w:name="_Toc485823561"/>
      <w:bookmarkStart w:id="75" w:name="_Toc488138233"/>
      <w:bookmarkStart w:id="76" w:name="_Toc485823562"/>
      <w:bookmarkStart w:id="77" w:name="_Toc488138234"/>
      <w:bookmarkStart w:id="78" w:name="_Toc485823563"/>
      <w:bookmarkStart w:id="79" w:name="_Toc488138235"/>
      <w:bookmarkStart w:id="80" w:name="_Toc485823564"/>
      <w:bookmarkStart w:id="81" w:name="_Toc488138236"/>
      <w:bookmarkStart w:id="82" w:name="_Toc485823565"/>
      <w:bookmarkStart w:id="83" w:name="_Toc488138237"/>
      <w:bookmarkStart w:id="84" w:name="_Toc485823566"/>
      <w:bookmarkStart w:id="85" w:name="_Toc488138238"/>
      <w:bookmarkStart w:id="86" w:name="_Toc485823567"/>
      <w:bookmarkStart w:id="87" w:name="_Toc488138239"/>
      <w:bookmarkStart w:id="88" w:name="_Toc485823568"/>
      <w:bookmarkStart w:id="89" w:name="_Toc488138240"/>
      <w:bookmarkStart w:id="90" w:name="_Toc485823569"/>
      <w:bookmarkStart w:id="91" w:name="_Toc488138241"/>
      <w:bookmarkStart w:id="92" w:name="_Toc485823570"/>
      <w:bookmarkStart w:id="93" w:name="_Toc488138242"/>
      <w:bookmarkStart w:id="94" w:name="_Toc485823571"/>
      <w:bookmarkStart w:id="95" w:name="_Toc488138243"/>
      <w:bookmarkStart w:id="96" w:name="_Toc485823575"/>
      <w:bookmarkStart w:id="97" w:name="_Toc488138247"/>
      <w:bookmarkStart w:id="98" w:name="_Toc485823576"/>
      <w:bookmarkStart w:id="99" w:name="_Toc488138248"/>
      <w:bookmarkStart w:id="100" w:name="_Toc485823577"/>
      <w:bookmarkStart w:id="101" w:name="_Toc488138249"/>
      <w:bookmarkStart w:id="102" w:name="_Toc485823578"/>
      <w:bookmarkStart w:id="103" w:name="_Toc488138250"/>
      <w:bookmarkStart w:id="104" w:name="_Toc485823579"/>
      <w:bookmarkStart w:id="105" w:name="_Toc488138251"/>
      <w:bookmarkStart w:id="106" w:name="_Toc485823580"/>
      <w:bookmarkStart w:id="107" w:name="_Toc488138252"/>
      <w:bookmarkStart w:id="108" w:name="_Toc485823581"/>
      <w:bookmarkStart w:id="109" w:name="_Toc488138253"/>
      <w:bookmarkStart w:id="110" w:name="_Toc485823582"/>
      <w:bookmarkStart w:id="111" w:name="_Toc488138254"/>
      <w:bookmarkStart w:id="112" w:name="_Toc485823583"/>
      <w:bookmarkStart w:id="113" w:name="_Toc488138255"/>
      <w:bookmarkStart w:id="114" w:name="_Toc485823584"/>
      <w:bookmarkStart w:id="115" w:name="_Toc488138256"/>
      <w:bookmarkStart w:id="116" w:name="_Toc485823585"/>
      <w:bookmarkStart w:id="117" w:name="_Toc488138257"/>
      <w:bookmarkStart w:id="118" w:name="_Toc485823586"/>
      <w:bookmarkStart w:id="119" w:name="_Toc488138258"/>
      <w:bookmarkStart w:id="120" w:name="_Toc485823587"/>
      <w:bookmarkStart w:id="121" w:name="_Toc488138259"/>
      <w:bookmarkStart w:id="122" w:name="_Toc485823588"/>
      <w:bookmarkStart w:id="123" w:name="_Toc488138260"/>
      <w:bookmarkStart w:id="124" w:name="_Toc485823589"/>
      <w:bookmarkStart w:id="125" w:name="_Toc488138261"/>
      <w:bookmarkStart w:id="126" w:name="_Toc485823590"/>
      <w:bookmarkStart w:id="127" w:name="_Toc488138262"/>
      <w:bookmarkStart w:id="128" w:name="_Toc485823591"/>
      <w:bookmarkStart w:id="129" w:name="_Toc488138263"/>
      <w:bookmarkStart w:id="130" w:name="_Toc485823592"/>
      <w:bookmarkStart w:id="131" w:name="_Toc488138264"/>
      <w:bookmarkStart w:id="132" w:name="_Toc485823593"/>
      <w:bookmarkStart w:id="133" w:name="_Toc488138265"/>
      <w:bookmarkStart w:id="134" w:name="_Toc485823594"/>
      <w:bookmarkStart w:id="135" w:name="_Toc488138266"/>
      <w:bookmarkStart w:id="136" w:name="_MON_1528620226"/>
      <w:bookmarkStart w:id="137" w:name="_Toc485823595"/>
      <w:bookmarkStart w:id="138" w:name="_Toc488138267"/>
      <w:bookmarkStart w:id="139" w:name="_Toc51716779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caps/>
        </w:rPr>
        <w:lastRenderedPageBreak/>
        <w:t>REkapitulace rozpočtu projektu</w:t>
      </w:r>
      <w:r w:rsidR="00450E8D">
        <w:rPr>
          <w:rStyle w:val="Znakapoznpodarou"/>
          <w:caps/>
        </w:rPr>
        <w:footnoteReference w:id="3"/>
      </w:r>
      <w:bookmarkEnd w:id="139"/>
    </w:p>
    <w:p w14:paraId="7B1C5715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0945B3A6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14:paraId="1D2FDD3F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Plán cash-flow v realizační fázi projektu v členění po letech:</w:t>
      </w:r>
    </w:p>
    <w:p w14:paraId="52E279DD" w14:textId="52FCB8D8" w:rsidR="00C65E82" w:rsidRDefault="00C65E82" w:rsidP="00C65E82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14:paraId="6EFD820A" w14:textId="7A16AC72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cash-flow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z</w:t>
      </w:r>
      <w:r w:rsidR="00901678" w:rsidRPr="003D1697">
        <w:t>droje financování provozních výdajů.</w:t>
      </w:r>
    </w:p>
    <w:p w14:paraId="3D9B3C59" w14:textId="477FBE09" w:rsidR="00901678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cash-flow. Zdůvodnění negativního cash-flow v některém období a zdroj prostředků a způsob překlenutí.</w:t>
      </w:r>
    </w:p>
    <w:p w14:paraId="170B59A4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0AAA4C12" w14:textId="685A8432" w:rsidR="00C65E82" w:rsidRPr="001D4E35" w:rsidRDefault="00C65E82" w:rsidP="00C65E82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4F5D8720" w14:textId="16850DAE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</w:t>
      </w:r>
      <w:r w:rsidR="00B94144">
        <w:t>odrobný p</w:t>
      </w:r>
      <w:r>
        <w:t>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2pt;height:138pt" o:ole="">
            <v:imagedata r:id="rId10" o:title=""/>
          </v:shape>
          <o:OLEObject Type="Embed" ProgID="Excel.Sheet.12" ShapeID="_x0000_i1025" DrawAspect="Content" ObjectID="_1655019504" r:id="rId11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0" w:name="_Toc485823597"/>
      <w:bookmarkStart w:id="141" w:name="_Toc488138269"/>
      <w:bookmarkStart w:id="142" w:name="_Toc485823598"/>
      <w:bookmarkStart w:id="143" w:name="_Toc488138270"/>
      <w:bookmarkStart w:id="144" w:name="_Toc485823599"/>
      <w:bookmarkStart w:id="145" w:name="_Toc488138271"/>
      <w:bookmarkStart w:id="146" w:name="_Toc485823600"/>
      <w:bookmarkStart w:id="147" w:name="_Toc488138272"/>
      <w:bookmarkStart w:id="148" w:name="_Toc485823601"/>
      <w:bookmarkStart w:id="149" w:name="_Toc488138273"/>
      <w:bookmarkStart w:id="150" w:name="_Toc485823602"/>
      <w:bookmarkStart w:id="151" w:name="_Toc488138274"/>
      <w:bookmarkStart w:id="152" w:name="_Toc517167794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3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3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4" w:name="_Toc512408640"/>
      <w:bookmarkStart w:id="155" w:name="_Toc517167796"/>
      <w:bookmarkEnd w:id="154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5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12408642"/>
      <w:bookmarkStart w:id="165" w:name="_Toc51716779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caps/>
        </w:rPr>
        <w:t>uPOZORNĚNÍ</w:t>
      </w:r>
      <w:bookmarkEnd w:id="164"/>
      <w:bookmarkEnd w:id="165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0614F" w14:textId="77777777" w:rsidR="00033252" w:rsidRDefault="00033252" w:rsidP="00634381">
      <w:pPr>
        <w:spacing w:after="0" w:line="240" w:lineRule="auto"/>
      </w:pPr>
      <w:r>
        <w:separator/>
      </w:r>
    </w:p>
  </w:endnote>
  <w:endnote w:type="continuationSeparator" w:id="0">
    <w:p w14:paraId="5EE6D2DB" w14:textId="77777777" w:rsidR="00033252" w:rsidRDefault="00033252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5E01DB2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073D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073D2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BEAFE" w14:textId="77777777" w:rsidR="00033252" w:rsidRDefault="00033252" w:rsidP="00634381">
      <w:pPr>
        <w:spacing w:after="0" w:line="240" w:lineRule="auto"/>
      </w:pPr>
      <w:r>
        <w:separator/>
      </w:r>
    </w:p>
  </w:footnote>
  <w:footnote w:type="continuationSeparator" w:id="0">
    <w:p w14:paraId="1F3DCE4D" w14:textId="77777777" w:rsidR="00033252" w:rsidRDefault="00033252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3252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073D2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3B22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636A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4C98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45D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315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4144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65E82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5231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1798-AB88-478E-8ED7-5E7988F2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1584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manager</cp:lastModifiedBy>
  <cp:revision>2</cp:revision>
  <cp:lastPrinted>2015-11-18T08:29:00Z</cp:lastPrinted>
  <dcterms:created xsi:type="dcterms:W3CDTF">2020-06-30T08:52:00Z</dcterms:created>
  <dcterms:modified xsi:type="dcterms:W3CDTF">2020-06-30T08:52:00Z</dcterms:modified>
</cp:coreProperties>
</file>